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E8FC" w14:textId="77777777" w:rsidR="00FE067E" w:rsidRPr="00A73D71" w:rsidRDefault="003C6034" w:rsidP="00CC1F3B">
      <w:pPr>
        <w:pStyle w:val="TitlePageOrigin"/>
        <w:rPr>
          <w:color w:val="auto"/>
        </w:rPr>
      </w:pPr>
      <w:r w:rsidRPr="00A73D71">
        <w:rPr>
          <w:caps w:val="0"/>
          <w:color w:val="auto"/>
        </w:rPr>
        <w:t>WEST VIRGINIA LEGISLATURE</w:t>
      </w:r>
    </w:p>
    <w:p w14:paraId="215B0695" w14:textId="07DB19F6" w:rsidR="00CD36CF" w:rsidRPr="00A73D71" w:rsidRDefault="00CD36CF" w:rsidP="00CC1F3B">
      <w:pPr>
        <w:pStyle w:val="TitlePageSession"/>
        <w:rPr>
          <w:color w:val="auto"/>
        </w:rPr>
      </w:pPr>
      <w:r w:rsidRPr="00A73D71">
        <w:rPr>
          <w:color w:val="auto"/>
        </w:rPr>
        <w:t>20</w:t>
      </w:r>
      <w:r w:rsidR="00EC5E63" w:rsidRPr="00A73D71">
        <w:rPr>
          <w:color w:val="auto"/>
        </w:rPr>
        <w:t>2</w:t>
      </w:r>
      <w:r w:rsidR="00FF2509" w:rsidRPr="00A73D71">
        <w:rPr>
          <w:color w:val="auto"/>
        </w:rPr>
        <w:t>4</w:t>
      </w:r>
      <w:r w:rsidRPr="00A73D71">
        <w:rPr>
          <w:color w:val="auto"/>
        </w:rPr>
        <w:t xml:space="preserve"> </w:t>
      </w:r>
      <w:r w:rsidR="003C6034" w:rsidRPr="00A73D71">
        <w:rPr>
          <w:caps w:val="0"/>
          <w:color w:val="auto"/>
        </w:rPr>
        <w:t>REGULAR SESSION</w:t>
      </w:r>
    </w:p>
    <w:p w14:paraId="3C183F7F" w14:textId="77777777" w:rsidR="00CD36CF" w:rsidRPr="00A73D71" w:rsidRDefault="0083130B" w:rsidP="00CC1F3B">
      <w:pPr>
        <w:pStyle w:val="TitlePageBillPrefix"/>
        <w:rPr>
          <w:color w:val="auto"/>
        </w:rPr>
      </w:pPr>
      <w:sdt>
        <w:sdtPr>
          <w:rPr>
            <w:color w:val="auto"/>
          </w:rPr>
          <w:tag w:val="IntroDate"/>
          <w:id w:val="-1236936958"/>
          <w:placeholder>
            <w:docPart w:val="8B61328E5F8342CC91A7465C62F80FC6"/>
          </w:placeholder>
          <w:text/>
        </w:sdtPr>
        <w:sdtEndPr/>
        <w:sdtContent>
          <w:r w:rsidR="00AE48A0" w:rsidRPr="00A73D71">
            <w:rPr>
              <w:color w:val="auto"/>
            </w:rPr>
            <w:t>Introduced</w:t>
          </w:r>
        </w:sdtContent>
      </w:sdt>
    </w:p>
    <w:p w14:paraId="0948BBEA" w14:textId="3C6F78A6" w:rsidR="00CD36CF" w:rsidRPr="00A73D71" w:rsidRDefault="0083130B" w:rsidP="00CC1F3B">
      <w:pPr>
        <w:pStyle w:val="BillNumber"/>
        <w:rPr>
          <w:color w:val="auto"/>
        </w:rPr>
      </w:pPr>
      <w:sdt>
        <w:sdtPr>
          <w:rPr>
            <w:color w:val="auto"/>
          </w:rPr>
          <w:tag w:val="Chamber"/>
          <w:id w:val="893011969"/>
          <w:lock w:val="sdtLocked"/>
          <w:placeholder>
            <w:docPart w:val="7BB85566710E4E368920D5CD6F7E3183"/>
          </w:placeholder>
          <w:dropDownList>
            <w:listItem w:displayText="House" w:value="House"/>
            <w:listItem w:displayText="Senate" w:value="Senate"/>
          </w:dropDownList>
        </w:sdtPr>
        <w:sdtEndPr/>
        <w:sdtContent>
          <w:r w:rsidR="00C33434" w:rsidRPr="00A73D71">
            <w:rPr>
              <w:color w:val="auto"/>
            </w:rPr>
            <w:t>House</w:t>
          </w:r>
        </w:sdtContent>
      </w:sdt>
      <w:r w:rsidR="00303684" w:rsidRPr="00A73D71">
        <w:rPr>
          <w:color w:val="auto"/>
        </w:rPr>
        <w:t xml:space="preserve"> </w:t>
      </w:r>
      <w:r w:rsidR="00CD36CF" w:rsidRPr="00A73D71">
        <w:rPr>
          <w:color w:val="auto"/>
        </w:rPr>
        <w:t xml:space="preserve">Bill </w:t>
      </w:r>
      <w:sdt>
        <w:sdtPr>
          <w:rPr>
            <w:color w:val="auto"/>
          </w:rPr>
          <w:tag w:val="BNum"/>
          <w:id w:val="1645317809"/>
          <w:lock w:val="sdtLocked"/>
          <w:placeholder>
            <w:docPart w:val="491C8649CB5C449B881F7B6BF264B648"/>
          </w:placeholder>
          <w:text/>
        </w:sdtPr>
        <w:sdtEndPr/>
        <w:sdtContent>
          <w:r w:rsidR="00EC3F79">
            <w:rPr>
              <w:color w:val="auto"/>
            </w:rPr>
            <w:t>4349</w:t>
          </w:r>
        </w:sdtContent>
      </w:sdt>
    </w:p>
    <w:p w14:paraId="465DAC24" w14:textId="689F5BB2" w:rsidR="00CD36CF" w:rsidRPr="00A73D71" w:rsidRDefault="00CD36CF" w:rsidP="00CC1F3B">
      <w:pPr>
        <w:pStyle w:val="Sponsors"/>
        <w:rPr>
          <w:color w:val="auto"/>
        </w:rPr>
      </w:pPr>
      <w:r w:rsidRPr="00A73D71">
        <w:rPr>
          <w:color w:val="auto"/>
        </w:rPr>
        <w:t xml:space="preserve">By </w:t>
      </w:r>
      <w:sdt>
        <w:sdtPr>
          <w:rPr>
            <w:color w:val="auto"/>
          </w:rPr>
          <w:tag w:val="Sponsors"/>
          <w:id w:val="1589585889"/>
          <w:placeholder>
            <w:docPart w:val="2A2DDF9F90F040B882FCB3691C92B059"/>
          </w:placeholder>
          <w:text w:multiLine="1"/>
        </w:sdtPr>
        <w:sdtEndPr/>
        <w:sdtContent>
          <w:r w:rsidR="0056362C" w:rsidRPr="00A73D71">
            <w:rPr>
              <w:color w:val="auto"/>
            </w:rPr>
            <w:t xml:space="preserve">Delegate </w:t>
          </w:r>
          <w:r w:rsidR="00A8315F" w:rsidRPr="00A73D71">
            <w:rPr>
              <w:color w:val="auto"/>
            </w:rPr>
            <w:t xml:space="preserve">Thorne </w:t>
          </w:r>
        </w:sdtContent>
      </w:sdt>
    </w:p>
    <w:p w14:paraId="12A1BA65" w14:textId="165A6079" w:rsidR="00E831B3" w:rsidRPr="00A73D71" w:rsidRDefault="00CD36CF" w:rsidP="00CC1F3B">
      <w:pPr>
        <w:pStyle w:val="References"/>
        <w:rPr>
          <w:color w:val="auto"/>
        </w:rPr>
      </w:pPr>
      <w:r w:rsidRPr="00A73D71">
        <w:rPr>
          <w:color w:val="auto"/>
        </w:rPr>
        <w:t>[</w:t>
      </w:r>
      <w:sdt>
        <w:sdtPr>
          <w:tag w:val="References"/>
          <w:id w:val="-1043047873"/>
          <w:placeholder>
            <w:docPart w:val="38C286CF7A164B38BD50D53B11556F1E"/>
          </w:placeholder>
          <w:text w:multiLine="1"/>
        </w:sdtPr>
        <w:sdtContent>
          <w:r w:rsidR="0083130B" w:rsidRPr="0083130B">
            <w:t>Introduced</w:t>
          </w:r>
          <w:r w:rsidR="0083130B" w:rsidRPr="0083130B">
            <w:t xml:space="preserve"> </w:t>
          </w:r>
          <w:r w:rsidR="0083130B" w:rsidRPr="0083130B">
            <w:t>January 10, 2024  ; Referred</w:t>
          </w:r>
          <w:r w:rsidR="0083130B" w:rsidRPr="0083130B">
            <w:br/>
            <w:t>to the Committee on Education then Judiciary</w:t>
          </w:r>
        </w:sdtContent>
      </w:sdt>
      <w:r w:rsidRPr="00A73D71">
        <w:rPr>
          <w:color w:val="auto"/>
        </w:rPr>
        <w:t>]</w:t>
      </w:r>
    </w:p>
    <w:p w14:paraId="61787BF2" w14:textId="1B368326" w:rsidR="00303684" w:rsidRPr="00A73D71" w:rsidRDefault="0000526A" w:rsidP="00CC1F3B">
      <w:pPr>
        <w:pStyle w:val="TitleSection"/>
        <w:rPr>
          <w:color w:val="auto"/>
        </w:rPr>
      </w:pPr>
      <w:r w:rsidRPr="00A73D71">
        <w:rPr>
          <w:color w:val="auto"/>
        </w:rPr>
        <w:lastRenderedPageBreak/>
        <w:t>A BILL</w:t>
      </w:r>
      <w:r w:rsidR="001D315F" w:rsidRPr="00A73D71">
        <w:rPr>
          <w:color w:val="auto"/>
        </w:rPr>
        <w:t xml:space="preserve"> to amend the Code of West Virginia, 1931, as amended</w:t>
      </w:r>
      <w:r w:rsidR="00CC7878" w:rsidRPr="00A73D71">
        <w:rPr>
          <w:color w:val="auto"/>
        </w:rPr>
        <w:t>,</w:t>
      </w:r>
      <w:r w:rsidR="001D315F" w:rsidRPr="00A73D71">
        <w:rPr>
          <w:color w:val="auto"/>
        </w:rPr>
        <w:t xml:space="preserve"> by adding thereto a new article, designated §18-2L-1, §18-2L-2, </w:t>
      </w:r>
      <w:r w:rsidR="00CC7878" w:rsidRPr="00A73D71">
        <w:rPr>
          <w:color w:val="auto"/>
        </w:rPr>
        <w:t xml:space="preserve">and </w:t>
      </w:r>
      <w:r w:rsidR="001D315F" w:rsidRPr="00A73D71">
        <w:rPr>
          <w:color w:val="auto"/>
        </w:rPr>
        <w:t>§18-2L-3</w:t>
      </w:r>
      <w:r w:rsidR="00CC7878" w:rsidRPr="00A73D71">
        <w:rPr>
          <w:color w:val="auto"/>
        </w:rPr>
        <w:t xml:space="preserve">; and </w:t>
      </w:r>
      <w:r w:rsidR="002836F3" w:rsidRPr="00A73D71">
        <w:rPr>
          <w:color w:val="auto"/>
        </w:rPr>
        <w:t>to amend</w:t>
      </w:r>
      <w:r w:rsidR="00CC7878" w:rsidRPr="00A73D71">
        <w:rPr>
          <w:color w:val="auto"/>
        </w:rPr>
        <w:t xml:space="preserve"> and reenac</w:t>
      </w:r>
      <w:r w:rsidR="002836F3" w:rsidRPr="00A73D71">
        <w:rPr>
          <w:color w:val="auto"/>
        </w:rPr>
        <w:t>t</w:t>
      </w:r>
      <w:r w:rsidR="001D315F" w:rsidRPr="00A73D71">
        <w:rPr>
          <w:color w:val="auto"/>
        </w:rPr>
        <w:t xml:space="preserve"> </w:t>
      </w:r>
      <w:r w:rsidR="00CC7878" w:rsidRPr="00A73D71">
        <w:rPr>
          <w:color w:val="auto"/>
        </w:rPr>
        <w:t>§18-5G-3 of said code</w:t>
      </w:r>
      <w:r w:rsidR="00787458" w:rsidRPr="00A73D71">
        <w:rPr>
          <w:color w:val="auto"/>
        </w:rPr>
        <w:t>,</w:t>
      </w:r>
      <w:r w:rsidR="00CC7878" w:rsidRPr="00A73D71">
        <w:rPr>
          <w:color w:val="auto"/>
        </w:rPr>
        <w:t xml:space="preserve"> </w:t>
      </w:r>
      <w:r w:rsidR="001D315F" w:rsidRPr="00A73D71">
        <w:rPr>
          <w:color w:val="auto"/>
        </w:rPr>
        <w:t>all relating to anti-stereotyping in state public schools and public charter schools; establishing The Anti-Stereotyping Act; providing that county boards, public schools, public charter schools, and employees thereof, shall not, in the course or scope of employment, promote, embrace, or endorse stereotypes; ensuring that the county board, public school or charter school does not require or compel a student, teacher, administrator, or other employee to affirm, adopt, or adhere to any certain beliefs or concepts</w:t>
      </w:r>
      <w:r w:rsidR="0088723C" w:rsidRPr="00A73D71">
        <w:rPr>
          <w:color w:val="auto"/>
        </w:rPr>
        <w:t>,</w:t>
      </w:r>
      <w:r w:rsidR="001D315F" w:rsidRPr="00A73D71">
        <w:rPr>
          <w:color w:val="auto"/>
        </w:rPr>
        <w:t xml:space="preserve"> and preserving free speech protections.</w:t>
      </w:r>
    </w:p>
    <w:p w14:paraId="6637E926" w14:textId="77777777" w:rsidR="00303684" w:rsidRPr="00A73D71" w:rsidRDefault="00303684" w:rsidP="00CC1F3B">
      <w:pPr>
        <w:pStyle w:val="EnactingClause"/>
        <w:rPr>
          <w:color w:val="auto"/>
        </w:rPr>
      </w:pPr>
      <w:r w:rsidRPr="00A73D71">
        <w:rPr>
          <w:color w:val="auto"/>
        </w:rPr>
        <w:t>Be it enacted by the Legislature of West Virginia:</w:t>
      </w:r>
    </w:p>
    <w:p w14:paraId="09F848C6" w14:textId="77777777" w:rsidR="003C6034" w:rsidRPr="00A73D71" w:rsidRDefault="003C6034" w:rsidP="00CC1F3B">
      <w:pPr>
        <w:pStyle w:val="EnactingClause"/>
        <w:rPr>
          <w:i w:val="0"/>
          <w:iCs/>
          <w:color w:val="auto"/>
        </w:rPr>
        <w:sectPr w:rsidR="003C6034" w:rsidRPr="00A73D71" w:rsidSect="00FF250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88C93C" w14:textId="77777777" w:rsidR="001D315F" w:rsidRPr="00A73D71" w:rsidRDefault="001D315F" w:rsidP="001D315F">
      <w:pPr>
        <w:pStyle w:val="ArticleHeading"/>
        <w:rPr>
          <w:color w:val="auto"/>
          <w:u w:val="single"/>
        </w:rPr>
      </w:pPr>
      <w:r w:rsidRPr="00A73D71">
        <w:rPr>
          <w:color w:val="auto"/>
          <w:u w:val="single"/>
        </w:rPr>
        <w:t>ARTICLE 2L. THE ANTI-STEREOTYPING ACT.</w:t>
      </w:r>
    </w:p>
    <w:p w14:paraId="6D9CEF24" w14:textId="77777777" w:rsidR="001D315F" w:rsidRPr="00A73D71" w:rsidRDefault="001D315F" w:rsidP="001D315F">
      <w:pPr>
        <w:pStyle w:val="SectionHeading"/>
        <w:rPr>
          <w:color w:val="auto"/>
          <w:u w:val="single"/>
        </w:rPr>
      </w:pPr>
      <w:r w:rsidRPr="00A73D71">
        <w:rPr>
          <w:color w:val="auto"/>
          <w:u w:val="single"/>
        </w:rPr>
        <w:t>§18-2L-1. Title.</w:t>
      </w:r>
    </w:p>
    <w:p w14:paraId="388F2B18" w14:textId="77777777" w:rsidR="001D315F" w:rsidRPr="00A73D71" w:rsidRDefault="001D315F" w:rsidP="001D315F">
      <w:pPr>
        <w:pStyle w:val="SectionBody"/>
        <w:rPr>
          <w:color w:val="auto"/>
          <w:u w:val="single"/>
        </w:rPr>
      </w:pPr>
      <w:r w:rsidRPr="00A73D71">
        <w:rPr>
          <w:color w:val="auto"/>
          <w:u w:val="single"/>
        </w:rPr>
        <w:t>This article shall be known and may be cited as The Anti-Stereotyping Act.</w:t>
      </w:r>
    </w:p>
    <w:p w14:paraId="06AD14C6" w14:textId="10F775CF" w:rsidR="001D315F" w:rsidRPr="00A73D71" w:rsidRDefault="001D315F" w:rsidP="001D315F">
      <w:pPr>
        <w:pStyle w:val="SectionHeading"/>
        <w:rPr>
          <w:color w:val="auto"/>
          <w:u w:val="single"/>
        </w:rPr>
      </w:pPr>
      <w:r w:rsidRPr="00A73D71">
        <w:rPr>
          <w:color w:val="auto"/>
          <w:u w:val="single"/>
        </w:rPr>
        <w:t>§18-2L-2.  Stereotyping.</w:t>
      </w:r>
    </w:p>
    <w:p w14:paraId="39029A57" w14:textId="77777777" w:rsidR="001D315F" w:rsidRPr="00A73D71" w:rsidRDefault="001D315F" w:rsidP="001D315F">
      <w:pPr>
        <w:pStyle w:val="SectionBody"/>
        <w:rPr>
          <w:color w:val="auto"/>
          <w:u w:val="single"/>
        </w:rPr>
        <w:sectPr w:rsidR="001D315F" w:rsidRPr="00A73D71" w:rsidSect="00FF250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360"/>
        </w:sectPr>
      </w:pPr>
    </w:p>
    <w:p w14:paraId="33E7CE1A" w14:textId="77777777" w:rsidR="001D315F" w:rsidRPr="00A73D71" w:rsidRDefault="001D315F" w:rsidP="001D315F">
      <w:pPr>
        <w:pStyle w:val="SectionBody"/>
        <w:rPr>
          <w:color w:val="auto"/>
          <w:u w:val="single"/>
        </w:rPr>
      </w:pPr>
      <w:r w:rsidRPr="00A73D71">
        <w:rPr>
          <w:color w:val="auto"/>
          <w:u w:val="single"/>
        </w:rPr>
        <w:t>(a) A county board, public school, public charter school, or any employee thereof, may not, in the course or scope of employment, promote, embrace, or endorse stereotypes based on race, sex, ethnicity, religion, or national origin.</w:t>
      </w:r>
    </w:p>
    <w:p w14:paraId="5EDA94C2" w14:textId="77777777" w:rsidR="001D315F" w:rsidRPr="00A73D71" w:rsidRDefault="001D315F" w:rsidP="001D315F">
      <w:pPr>
        <w:pStyle w:val="SectionBody"/>
        <w:rPr>
          <w:color w:val="auto"/>
          <w:u w:val="single"/>
        </w:rPr>
      </w:pPr>
      <w:r w:rsidRPr="00A73D71">
        <w:rPr>
          <w:color w:val="auto"/>
          <w:u w:val="single"/>
        </w:rPr>
        <w:t>(b) Stereotypes means character traits ascribed to a particular race, sex, ethnicity, religion, or national origin, or to an individual because of his or her race, sex, ethnicity, religion, or national origin.</w:t>
      </w:r>
    </w:p>
    <w:p w14:paraId="0289C41A" w14:textId="77777777" w:rsidR="001D315F" w:rsidRPr="00A73D71" w:rsidRDefault="001D315F" w:rsidP="001D315F">
      <w:pPr>
        <w:pStyle w:val="SectionBody"/>
        <w:rPr>
          <w:color w:val="auto"/>
          <w:u w:val="single"/>
        </w:rPr>
      </w:pPr>
      <w:r w:rsidRPr="00A73D71">
        <w:rPr>
          <w:color w:val="auto"/>
          <w:u w:val="single"/>
        </w:rPr>
        <w:t>(c) Nothing in this section shall prohibit discussing:</w:t>
      </w:r>
    </w:p>
    <w:p w14:paraId="7A34C2F4" w14:textId="77777777" w:rsidR="001D315F" w:rsidRPr="00A73D71" w:rsidRDefault="001D315F" w:rsidP="001D315F">
      <w:pPr>
        <w:pStyle w:val="SectionBody"/>
        <w:rPr>
          <w:color w:val="auto"/>
          <w:u w:val="single"/>
        </w:rPr>
      </w:pPr>
      <w:r w:rsidRPr="00A73D71">
        <w:rPr>
          <w:color w:val="auto"/>
          <w:u w:val="single"/>
        </w:rPr>
        <w:t>(1) How such stereotypes have been or are wrongfully embraced or utilized to discriminate on the basis of race, sex, ethnicity, religion, or national origin; or</w:t>
      </w:r>
    </w:p>
    <w:p w14:paraId="5527FC9C" w14:textId="77777777" w:rsidR="001D315F" w:rsidRPr="00A73D71" w:rsidRDefault="001D315F" w:rsidP="001D315F">
      <w:pPr>
        <w:pStyle w:val="SectionBody"/>
        <w:rPr>
          <w:color w:val="auto"/>
          <w:u w:val="single"/>
        </w:rPr>
      </w:pPr>
      <w:r w:rsidRPr="00A73D71">
        <w:rPr>
          <w:color w:val="auto"/>
          <w:u w:val="single"/>
        </w:rPr>
        <w:t>(2)  Data or scientific studies that categorize people based on race, sex, ethnicity, religion, or national origin, or that reveal disparities between different groups within any of those categories.</w:t>
      </w:r>
    </w:p>
    <w:p w14:paraId="7A12C1B6" w14:textId="7779EA25" w:rsidR="001D315F" w:rsidRPr="00A73D71" w:rsidRDefault="001D315F" w:rsidP="001D315F">
      <w:pPr>
        <w:pStyle w:val="SectionHeading"/>
        <w:rPr>
          <w:color w:val="auto"/>
          <w:u w:val="single"/>
        </w:rPr>
      </w:pPr>
      <w:r w:rsidRPr="00A73D71">
        <w:rPr>
          <w:color w:val="auto"/>
          <w:u w:val="single"/>
        </w:rPr>
        <w:lastRenderedPageBreak/>
        <w:t>§18-2L-</w:t>
      </w:r>
      <w:r w:rsidR="00036E44" w:rsidRPr="00A73D71">
        <w:rPr>
          <w:color w:val="auto"/>
          <w:u w:val="single"/>
        </w:rPr>
        <w:t>3</w:t>
      </w:r>
      <w:r w:rsidRPr="00A73D71">
        <w:rPr>
          <w:color w:val="auto"/>
          <w:u w:val="single"/>
        </w:rPr>
        <w:t>. Preservation of Freedom of Speech.</w:t>
      </w:r>
    </w:p>
    <w:p w14:paraId="3C9E698A" w14:textId="77777777" w:rsidR="001D315F" w:rsidRPr="00A73D71" w:rsidRDefault="001D315F" w:rsidP="001D315F">
      <w:pPr>
        <w:pStyle w:val="SectionBody"/>
        <w:rPr>
          <w:color w:val="auto"/>
          <w:u w:val="single"/>
        </w:rPr>
        <w:sectPr w:rsidR="001D315F" w:rsidRPr="00A73D71" w:rsidSect="00FF2509">
          <w:type w:val="continuous"/>
          <w:pgSz w:w="12240" w:h="15840"/>
          <w:pgMar w:top="1440" w:right="1440" w:bottom="1440" w:left="1440" w:header="720" w:footer="720" w:gutter="0"/>
          <w:lnNumType w:countBy="1" w:restart="newSection"/>
          <w:cols w:space="720"/>
          <w:docGrid w:linePitch="360"/>
        </w:sectPr>
      </w:pPr>
    </w:p>
    <w:p w14:paraId="2443A7E1" w14:textId="77777777" w:rsidR="001D315F" w:rsidRPr="00A73D71" w:rsidRDefault="001D315F" w:rsidP="001D315F">
      <w:pPr>
        <w:pStyle w:val="SectionBody"/>
        <w:rPr>
          <w:color w:val="auto"/>
          <w:u w:val="single"/>
        </w:rPr>
      </w:pPr>
      <w:r w:rsidRPr="00A73D71">
        <w:rPr>
          <w:color w:val="auto"/>
          <w:u w:val="single"/>
        </w:rPr>
        <w:t>(a) A county board, public school or public charter school may not:</w:t>
      </w:r>
    </w:p>
    <w:p w14:paraId="528C26EC" w14:textId="77777777" w:rsidR="001D315F" w:rsidRPr="00A73D71" w:rsidRDefault="001D315F" w:rsidP="001D315F">
      <w:pPr>
        <w:pStyle w:val="SectionBody"/>
        <w:rPr>
          <w:color w:val="auto"/>
          <w:u w:val="single"/>
        </w:rPr>
      </w:pPr>
      <w:r w:rsidRPr="00A73D71">
        <w:rPr>
          <w:color w:val="auto"/>
          <w:u w:val="single"/>
        </w:rPr>
        <w:t>(1) Require or otherwise compel a student, teacher, administrator, or other employee to affirm, adopt, or adhere to any belief or concept that:</w:t>
      </w:r>
    </w:p>
    <w:p w14:paraId="65BE10D0" w14:textId="77777777" w:rsidR="001D315F" w:rsidRPr="00A73D71" w:rsidRDefault="001D315F" w:rsidP="001D315F">
      <w:pPr>
        <w:pStyle w:val="SectionBody"/>
        <w:rPr>
          <w:color w:val="auto"/>
          <w:u w:val="single"/>
        </w:rPr>
      </w:pPr>
      <w:r w:rsidRPr="00A73D71">
        <w:rPr>
          <w:color w:val="auto"/>
          <w:u w:val="single"/>
        </w:rPr>
        <w:t>(A) One race, sex, ethnicity, religion, or national origin is inherently superior or inferior to another race, sex, ethnicity, religion, or national origin;</w:t>
      </w:r>
    </w:p>
    <w:p w14:paraId="4797D6AD" w14:textId="77777777" w:rsidR="001D315F" w:rsidRPr="00A73D71" w:rsidRDefault="001D315F" w:rsidP="001D315F">
      <w:pPr>
        <w:pStyle w:val="SectionBody"/>
        <w:rPr>
          <w:color w:val="auto"/>
          <w:u w:val="single"/>
        </w:rPr>
      </w:pPr>
      <w:r w:rsidRPr="00A73D71">
        <w:rPr>
          <w:color w:val="auto"/>
          <w:u w:val="single"/>
        </w:rPr>
        <w:t>(B) An individual, by virtue of his or her race, sex, ethnicity, religion, or national origin should be blamed for actions committed in the past by other members of the same race, sex, ethnicity, religion, or national origin; or</w:t>
      </w:r>
    </w:p>
    <w:p w14:paraId="27137FE5" w14:textId="77777777" w:rsidR="001D315F" w:rsidRPr="00A73D71" w:rsidRDefault="001D315F" w:rsidP="001D315F">
      <w:pPr>
        <w:pStyle w:val="SectionBody"/>
        <w:rPr>
          <w:color w:val="auto"/>
          <w:u w:val="single"/>
        </w:rPr>
      </w:pPr>
      <w:r w:rsidRPr="00A73D71">
        <w:rPr>
          <w:color w:val="auto"/>
          <w:u w:val="single"/>
        </w:rPr>
        <w:t>(C) An individual’s moral character is necessarily determined, in whole or in part, by his  or her race, sex, ethnicity, religion, or national origin.</w:t>
      </w:r>
    </w:p>
    <w:p w14:paraId="321E2DE3" w14:textId="77777777" w:rsidR="001D315F" w:rsidRPr="00A73D71" w:rsidRDefault="001D315F" w:rsidP="001D315F">
      <w:pPr>
        <w:pStyle w:val="SectionBody"/>
        <w:rPr>
          <w:color w:val="auto"/>
          <w:u w:val="single"/>
        </w:rPr>
      </w:pPr>
      <w:r w:rsidRPr="00A73D71">
        <w:rPr>
          <w:color w:val="auto"/>
          <w:u w:val="single"/>
        </w:rPr>
        <w:t>(2) Use public funds to contract with, hire, or otherwise engage consultants, trainers, or other persons to:</w:t>
      </w:r>
    </w:p>
    <w:p w14:paraId="4AD3320F" w14:textId="77777777" w:rsidR="001D315F" w:rsidRPr="00A73D71" w:rsidRDefault="001D315F" w:rsidP="001D315F">
      <w:pPr>
        <w:pStyle w:val="SectionBody"/>
        <w:rPr>
          <w:color w:val="auto"/>
          <w:u w:val="single"/>
        </w:rPr>
      </w:pPr>
      <w:r w:rsidRPr="00A73D71">
        <w:rPr>
          <w:color w:val="auto"/>
          <w:u w:val="single"/>
        </w:rPr>
        <w:t>(A) Direct or otherwise compel a student, teacher, administrator, or other employee to affirm, adopt, or adhere to any belief or concept described in subsection (a)(1) of this section; or</w:t>
      </w:r>
    </w:p>
    <w:p w14:paraId="23344610" w14:textId="77777777" w:rsidR="001D315F" w:rsidRPr="00A73D71" w:rsidRDefault="001D315F" w:rsidP="001D315F">
      <w:pPr>
        <w:pStyle w:val="SectionBody"/>
        <w:rPr>
          <w:color w:val="auto"/>
          <w:u w:val="single"/>
        </w:rPr>
      </w:pPr>
      <w:r w:rsidRPr="00A73D71">
        <w:rPr>
          <w:color w:val="auto"/>
          <w:u w:val="single"/>
        </w:rPr>
        <w:t>(B) Advocate concepts described in subsection (a)(1) of this section, unless:</w:t>
      </w:r>
    </w:p>
    <w:p w14:paraId="27709AC5" w14:textId="77777777" w:rsidR="001D315F" w:rsidRPr="00A73D71" w:rsidRDefault="001D315F" w:rsidP="001D315F">
      <w:pPr>
        <w:pStyle w:val="SectionBody"/>
        <w:rPr>
          <w:color w:val="auto"/>
          <w:u w:val="single"/>
        </w:rPr>
      </w:pPr>
      <w:r w:rsidRPr="00A73D71">
        <w:rPr>
          <w:color w:val="auto"/>
          <w:u w:val="single"/>
        </w:rPr>
        <w:t xml:space="preserve">(i) The county board, public school or public charter school, expressly makes clear </w:t>
      </w:r>
    </w:p>
    <w:p w14:paraId="25EE51EF" w14:textId="202FE85D" w:rsidR="001D315F" w:rsidRPr="00A73D71" w:rsidRDefault="001D315F" w:rsidP="00F40E38">
      <w:pPr>
        <w:pStyle w:val="SectionBody"/>
        <w:ind w:firstLine="0"/>
        <w:rPr>
          <w:color w:val="auto"/>
          <w:u w:val="single"/>
        </w:rPr>
      </w:pPr>
      <w:r w:rsidRPr="00A73D71">
        <w:rPr>
          <w:color w:val="auto"/>
          <w:u w:val="single"/>
        </w:rPr>
        <w:t>that it does not sponsor, approve, or endorse such concepts or materials; and</w:t>
      </w:r>
    </w:p>
    <w:p w14:paraId="42C9F38C" w14:textId="77777777" w:rsidR="001D315F" w:rsidRPr="00A73D71" w:rsidRDefault="001D315F" w:rsidP="001D315F">
      <w:pPr>
        <w:pStyle w:val="SectionBody"/>
        <w:rPr>
          <w:color w:val="auto"/>
          <w:u w:val="single"/>
        </w:rPr>
      </w:pPr>
      <w:r w:rsidRPr="00A73D71">
        <w:rPr>
          <w:color w:val="auto"/>
          <w:u w:val="single"/>
        </w:rPr>
        <w:t>(ii) The county board, public school or public charter school, affords students, teachers, administrators, and other employees the opportunity to opt out of any speeches by or sessions with such outside contractors.</w:t>
      </w:r>
    </w:p>
    <w:p w14:paraId="589124C3" w14:textId="77777777" w:rsidR="001D315F" w:rsidRPr="00A73D71" w:rsidRDefault="001D315F" w:rsidP="001D315F">
      <w:pPr>
        <w:pStyle w:val="SectionBody"/>
        <w:rPr>
          <w:color w:val="auto"/>
          <w:u w:val="single"/>
        </w:rPr>
      </w:pPr>
      <w:r w:rsidRPr="00A73D71">
        <w:rPr>
          <w:color w:val="auto"/>
          <w:u w:val="single"/>
        </w:rPr>
        <w:t>(3) Require a student, teacher, administrator, or other employee to attend or participate in a training, seminar, continuing education, orientation, or therapy that promotes any concept described in subsection (a)(1) of this section.</w:t>
      </w:r>
    </w:p>
    <w:p w14:paraId="533C440D" w14:textId="77777777" w:rsidR="001D315F" w:rsidRPr="00A73D71" w:rsidRDefault="001D315F" w:rsidP="001D315F">
      <w:pPr>
        <w:pStyle w:val="SectionBody"/>
        <w:rPr>
          <w:color w:val="auto"/>
          <w:u w:val="single"/>
        </w:rPr>
      </w:pPr>
      <w:r w:rsidRPr="00A73D71">
        <w:rPr>
          <w:color w:val="auto"/>
          <w:u w:val="single"/>
        </w:rPr>
        <w:t>(b) Nothing in this section shall be construed as prohibiting:</w:t>
      </w:r>
    </w:p>
    <w:p w14:paraId="4A0B8030" w14:textId="77777777" w:rsidR="001D315F" w:rsidRPr="00A73D71" w:rsidRDefault="001D315F" w:rsidP="001D315F">
      <w:pPr>
        <w:pStyle w:val="SectionBody"/>
        <w:rPr>
          <w:color w:val="auto"/>
          <w:u w:val="single"/>
        </w:rPr>
      </w:pPr>
      <w:r w:rsidRPr="00A73D71">
        <w:rPr>
          <w:color w:val="auto"/>
          <w:u w:val="single"/>
        </w:rPr>
        <w:t xml:space="preserve">(1)  Speech protected by the First Amendment of the U.S. Constitution or Article III, Section </w:t>
      </w:r>
      <w:r w:rsidRPr="00A73D71">
        <w:rPr>
          <w:color w:val="auto"/>
          <w:u w:val="single"/>
        </w:rPr>
        <w:lastRenderedPageBreak/>
        <w:t>7 the West Virginia Constitution;</w:t>
      </w:r>
    </w:p>
    <w:p w14:paraId="364186A2" w14:textId="77777777" w:rsidR="001D315F" w:rsidRPr="00A73D71" w:rsidRDefault="001D315F" w:rsidP="001D315F">
      <w:pPr>
        <w:pStyle w:val="SectionBody"/>
        <w:rPr>
          <w:color w:val="auto"/>
          <w:u w:val="single"/>
        </w:rPr>
      </w:pPr>
      <w:r w:rsidRPr="00A73D71">
        <w:rPr>
          <w:color w:val="auto"/>
          <w:u w:val="single"/>
        </w:rPr>
        <w:t>(2)  Voluntary attendance at a training session, seminar, continuing education, orientation, or therapy, provided that no inducement or coercion for such attendance exists;</w:t>
      </w:r>
    </w:p>
    <w:p w14:paraId="0AD6BC7D" w14:textId="77777777" w:rsidR="001D315F" w:rsidRPr="00A73D71" w:rsidRDefault="001D315F" w:rsidP="001D315F">
      <w:pPr>
        <w:pStyle w:val="SectionBody"/>
        <w:rPr>
          <w:color w:val="auto"/>
          <w:u w:val="single"/>
        </w:rPr>
      </w:pPr>
      <w:r w:rsidRPr="00A73D71">
        <w:rPr>
          <w:color w:val="auto"/>
          <w:u w:val="single"/>
        </w:rPr>
        <w:t>(3) Access to sources on an individual basis that advocate concepts described in subsection (a)(1) of this section for the purpose of research or independent study; or</w:t>
      </w:r>
    </w:p>
    <w:p w14:paraId="6B09AD66" w14:textId="77777777" w:rsidR="001D315F" w:rsidRPr="00A73D71" w:rsidRDefault="001D315F" w:rsidP="001D315F">
      <w:pPr>
        <w:pStyle w:val="SectionBody"/>
        <w:rPr>
          <w:color w:val="auto"/>
          <w:u w:val="single"/>
        </w:rPr>
      </w:pPr>
      <w:r w:rsidRPr="00A73D71">
        <w:rPr>
          <w:color w:val="auto"/>
          <w:u w:val="single"/>
        </w:rPr>
        <w:t xml:space="preserve">(4) Discussion of concepts described in subsection (a)(1) of this section or the assignment of materials that incorporate such concepts for educational purposes: </w:t>
      </w:r>
      <w:r w:rsidRPr="00A73D71">
        <w:rPr>
          <w:i/>
          <w:iCs/>
          <w:color w:val="auto"/>
          <w:u w:val="single"/>
        </w:rPr>
        <w:t>Provided,</w:t>
      </w:r>
      <w:r w:rsidRPr="00A73D71">
        <w:rPr>
          <w:color w:val="auto"/>
          <w:u w:val="single"/>
        </w:rPr>
        <w:t xml:space="preserve"> That the county board, public school or public charter school expressly makes clear that it does not sponsor, approve, or endorse such concepts or materials.</w:t>
      </w:r>
    </w:p>
    <w:p w14:paraId="50259188" w14:textId="6619F392" w:rsidR="001D315F" w:rsidRPr="00A73D71" w:rsidRDefault="001D315F" w:rsidP="00FF2509">
      <w:pPr>
        <w:pStyle w:val="ArticleHeading"/>
        <w:rPr>
          <w:color w:val="auto"/>
        </w:rPr>
      </w:pPr>
      <w:r w:rsidRPr="00A73D71">
        <w:rPr>
          <w:color w:val="auto"/>
        </w:rPr>
        <w:t>ARTICLE 5G. CHARTER SCHOOLS</w:t>
      </w:r>
    </w:p>
    <w:p w14:paraId="3472E248" w14:textId="77777777" w:rsidR="00FF2509" w:rsidRPr="00A73D71" w:rsidRDefault="00FF2509" w:rsidP="001D315F">
      <w:pPr>
        <w:pStyle w:val="SectionBody"/>
        <w:rPr>
          <w:rFonts w:cs="Arial"/>
          <w:color w:val="auto"/>
        </w:rPr>
        <w:sectPr w:rsidR="00FF2509" w:rsidRPr="00A73D71" w:rsidSect="00FF2509">
          <w:type w:val="continuous"/>
          <w:pgSz w:w="12240" w:h="15840" w:code="1"/>
          <w:pgMar w:top="1440" w:right="1440" w:bottom="1440" w:left="1440" w:header="720" w:footer="720" w:gutter="0"/>
          <w:lnNumType w:countBy="1" w:restart="newSection"/>
          <w:cols w:space="720"/>
          <w:docGrid w:linePitch="360"/>
        </w:sectPr>
      </w:pPr>
    </w:p>
    <w:p w14:paraId="01E6A4DE" w14:textId="77777777" w:rsidR="00FF2509" w:rsidRPr="00A73D71" w:rsidRDefault="00FF2509" w:rsidP="00FA5732">
      <w:pPr>
        <w:suppressLineNumbers/>
        <w:spacing w:after="0" w:line="480" w:lineRule="auto"/>
        <w:ind w:left="720" w:hanging="720"/>
        <w:jc w:val="both"/>
        <w:outlineLvl w:val="3"/>
        <w:rPr>
          <w:rFonts w:ascii="Arial" w:eastAsia="Calibri" w:hAnsi="Arial" w:cs="Times New Roman"/>
          <w:b/>
        </w:rPr>
      </w:pPr>
      <w:r w:rsidRPr="00A73D71">
        <w:rPr>
          <w:rFonts w:ascii="Arial" w:eastAsia="Calibri" w:hAnsi="Arial" w:cs="Times New Roman"/>
          <w:b/>
        </w:rPr>
        <w:t>§18-5G-3. Public charter school criteria, governance structure and statutory compliance requirements; applicable federal and state laws.</w:t>
      </w:r>
    </w:p>
    <w:p w14:paraId="084F7B58" w14:textId="77777777" w:rsidR="00FF2509" w:rsidRPr="00A73D71" w:rsidRDefault="00FF2509" w:rsidP="00FA5732">
      <w:pPr>
        <w:spacing w:after="0" w:line="480" w:lineRule="auto"/>
        <w:ind w:firstLine="720"/>
        <w:jc w:val="both"/>
        <w:rPr>
          <w:rFonts w:ascii="Arial" w:eastAsia="Calibri" w:hAnsi="Arial" w:cs="Times New Roman"/>
        </w:rPr>
        <w:sectPr w:rsidR="00FF2509" w:rsidRPr="00A73D71" w:rsidSect="00870922">
          <w:type w:val="continuous"/>
          <w:pgSz w:w="12240" w:h="15840" w:code="1"/>
          <w:pgMar w:top="1440" w:right="1440" w:bottom="1440" w:left="1440" w:header="720" w:footer="720" w:gutter="0"/>
          <w:lnNumType w:countBy="1" w:restart="newSection"/>
          <w:cols w:space="720"/>
          <w:docGrid w:linePitch="360"/>
        </w:sectPr>
      </w:pPr>
    </w:p>
    <w:p w14:paraId="6C3B9644"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(a) Public charter schools authorized pursuant to this article shall meet the following general criteria:</w:t>
      </w:r>
    </w:p>
    <w:p w14:paraId="4500A17C"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(1) Are part of the state’s system of public schools and are subject to general supervision by the West Virginia Board of Education for meeting the student performance standards required of other public school students under </w:t>
      </w:r>
      <w:r w:rsidRPr="00A73D71">
        <w:rPr>
          <w:rFonts w:ascii="Arial" w:eastAsia="Calibri" w:hAnsi="Arial" w:cs="Arial"/>
        </w:rPr>
        <w:t>§</w:t>
      </w:r>
      <w:r w:rsidRPr="00A73D71">
        <w:rPr>
          <w:rFonts w:ascii="Arial" w:eastAsia="Calibri" w:hAnsi="Arial" w:cs="Times New Roman"/>
        </w:rPr>
        <w:t xml:space="preserve">18-2E-5(d) and (e) of this code; </w:t>
      </w:r>
    </w:p>
    <w:p w14:paraId="443FE73E"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(2) Are subject to the oversight of the school’s authorizer for operating in accordance with its </w:t>
      </w:r>
      <w:r w:rsidRPr="00A73D71">
        <w:rPr>
          <w:rFonts w:ascii="Arial" w:eastAsia="Calibri" w:hAnsi="Arial" w:cs="Arial"/>
          <w:sz w:val="24"/>
        </w:rPr>
        <w:t>approved charter contract</w:t>
      </w:r>
      <w:r w:rsidRPr="00A73D71">
        <w:rPr>
          <w:rFonts w:ascii="Arial" w:eastAsia="Calibri" w:hAnsi="Arial" w:cs="Times New Roman"/>
        </w:rPr>
        <w:t xml:space="preserve"> and for meeting the terms and performance standards established in the charter contract; </w:t>
      </w:r>
    </w:p>
    <w:p w14:paraId="6296FD27"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(3) Are not home school-based;</w:t>
      </w:r>
    </w:p>
    <w:p w14:paraId="557AB3E2"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(4) Are not affiliated with or espouse any specific religious denomination, organization, sect, or belief and do not promote or engage in any religious practices in their educational program, admissions, employment policies, or operations;</w:t>
      </w:r>
    </w:p>
    <w:p w14:paraId="5F53C276"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lastRenderedPageBreak/>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2B580F25"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(6) Are public schools to which parents or legal guardians choose to send their child or children;</w:t>
      </w:r>
    </w:p>
    <w:p w14:paraId="6C49D5F5"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(7) Do not charge tuition and may only charge such fees as may be imposed by noncharter public schools in this state; and</w:t>
      </w:r>
    </w:p>
    <w:p w14:paraId="67A1F7D6"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(8) Have no requirements that would exclude any child from enrollment who would not be excluded at a noncharter public school.</w:t>
      </w:r>
    </w:p>
    <w:p w14:paraId="4BADB2DE"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(b) A public charter school authorized pursuant to this article shall be governed by a board that meets the requirements established in </w:t>
      </w:r>
      <w:r w:rsidRPr="00A73D71">
        <w:rPr>
          <w:rFonts w:ascii="Arial" w:eastAsia="Calibri" w:hAnsi="Arial" w:cs="Arial"/>
        </w:rPr>
        <w:t>§</w:t>
      </w:r>
      <w:r w:rsidRPr="00A73D71">
        <w:rPr>
          <w:rFonts w:ascii="Arial" w:eastAsia="Calibri" w:hAnsi="Arial" w:cs="Times New Roman"/>
        </w:rPr>
        <w:t xml:space="preserve">18-5G-7 of this code and:       </w:t>
      </w:r>
      <w:r w:rsidRPr="00A73D71">
        <w:rPr>
          <w:rFonts w:ascii="Arial" w:eastAsia="Calibri" w:hAnsi="Arial" w:cs="Arial"/>
          <w:sz w:val="24"/>
        </w:rPr>
        <w:t xml:space="preserve"> </w:t>
      </w:r>
    </w:p>
    <w:p w14:paraId="61B3DE97"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(1) Has autonomy over key decisions, including, but not limited to, decisions concerning finance, personnel, scheduling, curriculum, and instruction except as provided in this article;</w:t>
      </w:r>
    </w:p>
    <w:p w14:paraId="4C6F2EEE"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(2) Has no power to levy taxes;</w:t>
      </w:r>
    </w:p>
    <w:p w14:paraId="606845C3"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(3) Operates in pursuit of a specific set of educational objectives as defined in its charter contract;</w:t>
      </w:r>
    </w:p>
    <w:p w14:paraId="1B4939DC"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(4) Provides a program of public education that:</w:t>
      </w:r>
    </w:p>
    <w:p w14:paraId="633D759A"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programs;</w:t>
      </w:r>
    </w:p>
    <w:p w14:paraId="47D57621"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(B) May include in its mission a specific focus on students with special needs, including, but not limited to, at-risk students, English language learners, students with severe disciplinary problems at a noncharter public school, or students involved with the juvenile justice system; and</w:t>
      </w:r>
    </w:p>
    <w:p w14:paraId="63219A04"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lastRenderedPageBreak/>
        <w:t>(C) May include a specific academic approach or theme including, but not limited to, approaches or themes such as STEM education, mastery-based education, early college, or fine and performing arts;</w:t>
      </w:r>
    </w:p>
    <w:p w14:paraId="1B1E76FA"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7AC72165" w14:textId="5AFCDE74"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(6) Is eligible to participate in state-sponsored or district-sponsored athletic and academic interscholastic leagues, competitions, awards, scholarships, and recognition programs for students, educators, administrators, and schools to the same extent as noncharter public schools;</w:t>
      </w:r>
    </w:p>
    <w:p w14:paraId="445911F5" w14:textId="5B1527B5"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A73D71">
        <w:rPr>
          <w:rFonts w:ascii="Arial" w:eastAsia="Calibri" w:hAnsi="Arial" w:cs="Times New Roman"/>
          <w:i/>
          <w:iCs/>
        </w:rPr>
        <w:t xml:space="preserve">Provided, </w:t>
      </w:r>
      <w:r w:rsidRPr="00A73D71">
        <w:rPr>
          <w:rFonts w:ascii="Arial" w:eastAsia="Calibri" w:hAnsi="Arial" w:cs="Times New Roman"/>
        </w:rPr>
        <w:t>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2812BDFF"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(8) Is responsible for establishing a staffing plan that includes the requisite qualifications and any associated certification and/or licensure necessary for teachers and other instructional </w:t>
      </w:r>
      <w:r w:rsidRPr="00A73D71">
        <w:rPr>
          <w:rFonts w:ascii="Arial" w:eastAsia="Calibri" w:hAnsi="Arial" w:cs="Times New Roman"/>
        </w:rPr>
        <w:lastRenderedPageBreak/>
        <w:t>staff to be employed at the public charter school and for verifying that these requirements are met.</w:t>
      </w:r>
    </w:p>
    <w:p w14:paraId="720F98E1"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(c) A public charter school authorized pursuant to this article </w:t>
      </w:r>
      <w:r w:rsidRPr="00A73D71">
        <w:rPr>
          <w:rFonts w:ascii="Arial" w:eastAsia="Calibri" w:hAnsi="Arial" w:cs="Arial"/>
          <w:sz w:val="24"/>
        </w:rPr>
        <w:t>i</w:t>
      </w:r>
      <w:r w:rsidRPr="00A73D71">
        <w:rPr>
          <w:rFonts w:ascii="Arial" w:eastAsia="Calibri" w:hAnsi="Arial" w:cs="Times New Roman"/>
        </w:rPr>
        <w:t>s exempt from all statutes and rules applicable to a noncharter public school or board of education except the following:</w:t>
      </w:r>
    </w:p>
    <w:p w14:paraId="5B68E73F"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627C514C"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(2) The provisions of </w:t>
      </w:r>
      <w:r w:rsidRPr="00A73D71">
        <w:rPr>
          <w:rFonts w:ascii="Arial" w:eastAsia="Calibri" w:hAnsi="Arial" w:cs="Arial"/>
        </w:rPr>
        <w:t>§</w:t>
      </w:r>
      <w:r w:rsidRPr="00A73D71">
        <w:rPr>
          <w:rFonts w:ascii="Arial" w:eastAsia="Calibri" w:hAnsi="Arial" w:cs="Times New Roman"/>
        </w:rPr>
        <w:t xml:space="preserve">29B-1-1 </w:t>
      </w:r>
      <w:r w:rsidRPr="00A73D71">
        <w:rPr>
          <w:rFonts w:ascii="Arial" w:eastAsia="Calibri" w:hAnsi="Arial" w:cs="Times New Roman"/>
          <w:i/>
        </w:rPr>
        <w:t xml:space="preserve">et seq. </w:t>
      </w:r>
      <w:r w:rsidRPr="00A73D71">
        <w:rPr>
          <w:rFonts w:ascii="Arial" w:eastAsia="Calibri" w:hAnsi="Arial" w:cs="Times New Roman"/>
        </w:rPr>
        <w:t xml:space="preserve">of this code relating to freedom of information and the provisions of </w:t>
      </w:r>
      <w:r w:rsidRPr="00A73D71">
        <w:rPr>
          <w:rFonts w:ascii="Arial" w:eastAsia="Calibri" w:hAnsi="Arial" w:cs="Arial"/>
        </w:rPr>
        <w:t>§</w:t>
      </w:r>
      <w:r w:rsidRPr="00A73D71">
        <w:rPr>
          <w:rFonts w:ascii="Arial" w:eastAsia="Calibri" w:hAnsi="Arial" w:cs="Times New Roman"/>
        </w:rPr>
        <w:t xml:space="preserve">6-9A-1 </w:t>
      </w:r>
      <w:r w:rsidRPr="00A73D71">
        <w:rPr>
          <w:rFonts w:ascii="Arial" w:eastAsia="Calibri" w:hAnsi="Arial" w:cs="Times New Roman"/>
          <w:i/>
        </w:rPr>
        <w:t xml:space="preserve">et seq. </w:t>
      </w:r>
      <w:r w:rsidRPr="00A73D71">
        <w:rPr>
          <w:rFonts w:ascii="Arial" w:eastAsia="Calibri" w:hAnsi="Arial" w:cs="Times New Roman"/>
        </w:rPr>
        <w:t>of this code relating to open governmental proceedings;</w:t>
      </w:r>
    </w:p>
    <w:p w14:paraId="5647C2A6"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(3) The same immunization requirements </w:t>
      </w:r>
      <w:bookmarkStart w:id="0" w:name="_Hlk10037606"/>
      <w:r w:rsidRPr="00A73D71">
        <w:rPr>
          <w:rFonts w:ascii="Arial" w:eastAsia="Calibri" w:hAnsi="Arial" w:cs="Times New Roman"/>
        </w:rPr>
        <w:t>applicable to noncharter public schools</w:t>
      </w:r>
      <w:bookmarkEnd w:id="0"/>
      <w:r w:rsidRPr="00A73D71">
        <w:rPr>
          <w:rFonts w:ascii="Arial" w:eastAsia="Calibri" w:hAnsi="Arial" w:cs="Times New Roman"/>
        </w:rPr>
        <w:t xml:space="preserve">; </w:t>
      </w:r>
    </w:p>
    <w:p w14:paraId="1A0345AE"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(4) The same compulsory school attendance requirements applicable to noncharter public schools;</w:t>
      </w:r>
    </w:p>
    <w:p w14:paraId="0A94E2DB"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(5) The same minimum number of days or an equivalent amount of instructional time per year as required of noncharter public school students under </w:t>
      </w:r>
      <w:r w:rsidRPr="00A73D71">
        <w:rPr>
          <w:rFonts w:ascii="Arial" w:eastAsia="Calibri" w:hAnsi="Arial" w:cs="Arial"/>
        </w:rPr>
        <w:t>§</w:t>
      </w:r>
      <w:r w:rsidRPr="00A73D71">
        <w:rPr>
          <w:rFonts w:ascii="Arial" w:eastAsia="Calibri" w:hAnsi="Arial" w:cs="Times New Roman"/>
        </w:rPr>
        <w:t>18-5-45 of this code;</w:t>
      </w:r>
    </w:p>
    <w:p w14:paraId="0CCF9958"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(6) The same student assessment requirements applicable to noncharter public schools in this state, but only to the extent that will allow the state board to measure the performance of public charter school students pursuant to </w:t>
      </w:r>
      <w:r w:rsidRPr="00A73D71">
        <w:rPr>
          <w:rFonts w:ascii="Arial" w:eastAsia="Calibri" w:hAnsi="Arial" w:cs="Arial"/>
        </w:rPr>
        <w:t>§</w:t>
      </w:r>
      <w:r w:rsidRPr="00A73D71">
        <w:rPr>
          <w:rFonts w:ascii="Arial" w:eastAsia="Calibri" w:hAnsi="Arial" w:cs="Times New Roman"/>
        </w:rPr>
        <w:t>18-2E-5(d) and (e) of this code.  Nothing precludes a public charter school from establishing additional student assessment measures that go beyond state requirements;</w:t>
      </w:r>
    </w:p>
    <w:p w14:paraId="133A77C6"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(7) The Student Data Accessibility, Transparency and Accountability Act pursuant to </w:t>
      </w:r>
      <w:r w:rsidRPr="00A73D71">
        <w:rPr>
          <w:rFonts w:ascii="Arial" w:eastAsia="Calibri" w:hAnsi="Arial" w:cs="Arial"/>
        </w:rPr>
        <w:t>§</w:t>
      </w:r>
      <w:r w:rsidRPr="00A73D71">
        <w:rPr>
          <w:rFonts w:ascii="Arial" w:eastAsia="Calibri" w:hAnsi="Arial" w:cs="Times New Roman"/>
        </w:rPr>
        <w:t>18-2-5h of this code;</w:t>
      </w:r>
    </w:p>
    <w:p w14:paraId="4511A040"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(8) Use of the electronic education information system established by the West Virginia Department of Education for the purpose of reporting required information;</w:t>
      </w:r>
    </w:p>
    <w:p w14:paraId="503D8F5D"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w:t>
      </w:r>
      <w:r w:rsidRPr="00A73D71">
        <w:rPr>
          <w:rFonts w:ascii="Arial" w:eastAsia="Calibri" w:hAnsi="Arial" w:cs="Times New Roman"/>
        </w:rPr>
        <w:lastRenderedPageBreak/>
        <w:t xml:space="preserve">charter school from utilizing additional measures for reporting information on student and school performance that go beyond state requirements;   </w:t>
      </w:r>
    </w:p>
    <w:p w14:paraId="64B1D400"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151EEF73"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(11) A criminal history check pursuant to </w:t>
      </w:r>
      <w:r w:rsidRPr="00A73D71">
        <w:rPr>
          <w:rFonts w:ascii="Arial" w:eastAsia="Calibri" w:hAnsi="Arial" w:cs="Arial"/>
        </w:rPr>
        <w:t>§</w:t>
      </w:r>
      <w:r w:rsidRPr="00A73D71">
        <w:rPr>
          <w:rFonts w:ascii="Arial" w:eastAsia="Calibri" w:hAnsi="Arial" w:cs="Times New Roman"/>
        </w:rPr>
        <w:t>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w:t>
      </w:r>
    </w:p>
    <w:p w14:paraId="5ED4D462"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 xml:space="preserve">(12) The same zoning rules for its facilities that apply to noncharter public schools in this state; </w:t>
      </w:r>
    </w:p>
    <w:p w14:paraId="25E4A9FD" w14:textId="77777777" w:rsidR="00FF2509" w:rsidRPr="00A73D71" w:rsidRDefault="00FF2509" w:rsidP="00FA5732">
      <w:pPr>
        <w:spacing w:after="0" w:line="480" w:lineRule="auto"/>
        <w:ind w:firstLine="720"/>
        <w:jc w:val="both"/>
        <w:rPr>
          <w:rFonts w:ascii="Arial" w:eastAsia="Calibri" w:hAnsi="Arial" w:cs="Times New Roman"/>
        </w:rPr>
      </w:pPr>
      <w:r w:rsidRPr="00A73D71">
        <w:rPr>
          <w:rFonts w:ascii="Arial" w:eastAsia="Calibri" w:hAnsi="Arial" w:cs="Times New Roman"/>
        </w:rPr>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505A2873" w14:textId="77777777" w:rsidR="00FF2509" w:rsidRPr="00A73D71" w:rsidRDefault="00FF2509" w:rsidP="00ED6C17">
      <w:pPr>
        <w:spacing w:after="0" w:line="480" w:lineRule="auto"/>
        <w:ind w:firstLine="720"/>
        <w:jc w:val="both"/>
        <w:outlineLvl w:val="4"/>
        <w:rPr>
          <w:rFonts w:ascii="Arial" w:eastAsia="Calibri" w:hAnsi="Arial" w:cs="Arial"/>
        </w:rPr>
      </w:pPr>
      <w:r w:rsidRPr="00A73D71">
        <w:rPr>
          <w:rFonts w:ascii="Arial" w:eastAsia="Calibri" w:hAnsi="Arial" w:cs="Arial"/>
        </w:rPr>
        <w:t>(14) The same student transportation safety laws applicable to public schools when transportation is provided.</w:t>
      </w:r>
    </w:p>
    <w:p w14:paraId="150C91F9" w14:textId="70A10678" w:rsidR="008736AA" w:rsidRPr="00A73D71" w:rsidRDefault="001D315F" w:rsidP="001D315F">
      <w:pPr>
        <w:pStyle w:val="SectionBody"/>
        <w:rPr>
          <w:rFonts w:cs="Arial"/>
          <w:color w:val="auto"/>
          <w:u w:val="single"/>
        </w:rPr>
      </w:pPr>
      <w:r w:rsidRPr="00A73D71">
        <w:rPr>
          <w:rFonts w:cs="Arial"/>
          <w:color w:val="auto"/>
          <w:u w:val="single"/>
        </w:rPr>
        <w:t xml:space="preserve">(15) The Anti-Stereotyping Act, pursuant to §18-2L-1 </w:t>
      </w:r>
      <w:r w:rsidRPr="00A73D71">
        <w:rPr>
          <w:rFonts w:cs="Arial"/>
          <w:i/>
          <w:iCs/>
          <w:color w:val="auto"/>
          <w:u w:val="single"/>
        </w:rPr>
        <w:t>et seq.</w:t>
      </w:r>
      <w:r w:rsidRPr="00A73D71">
        <w:rPr>
          <w:rFonts w:cs="Arial"/>
          <w:color w:val="auto"/>
          <w:u w:val="single"/>
        </w:rPr>
        <w:t xml:space="preserve"> of this code.</w:t>
      </w:r>
    </w:p>
    <w:p w14:paraId="1E48C038" w14:textId="77777777" w:rsidR="00C33014" w:rsidRPr="00A73D71" w:rsidRDefault="00C33014" w:rsidP="00CC1F3B">
      <w:pPr>
        <w:pStyle w:val="Note"/>
        <w:rPr>
          <w:color w:val="auto"/>
        </w:rPr>
      </w:pPr>
    </w:p>
    <w:p w14:paraId="6802F81D" w14:textId="2553008A" w:rsidR="006865E9" w:rsidRPr="00A73D71" w:rsidRDefault="00CF1DCA" w:rsidP="00CC1F3B">
      <w:pPr>
        <w:pStyle w:val="Note"/>
        <w:rPr>
          <w:color w:val="auto"/>
        </w:rPr>
      </w:pPr>
      <w:r w:rsidRPr="00A73D71">
        <w:rPr>
          <w:color w:val="auto"/>
        </w:rPr>
        <w:t>NOTE: The</w:t>
      </w:r>
      <w:r w:rsidR="006865E9" w:rsidRPr="00A73D71">
        <w:rPr>
          <w:color w:val="auto"/>
        </w:rPr>
        <w:t xml:space="preserve"> purpose of this bill is to </w:t>
      </w:r>
      <w:r w:rsidR="00036E44" w:rsidRPr="00A73D71">
        <w:rPr>
          <w:color w:val="auto"/>
        </w:rPr>
        <w:t>create the Anti-Stereotyping Act.</w:t>
      </w:r>
      <w:r w:rsidR="002836F3" w:rsidRPr="00A73D71">
        <w:rPr>
          <w:color w:val="auto"/>
        </w:rPr>
        <w:t xml:space="preserve"> The bill </w:t>
      </w:r>
      <w:r w:rsidR="003F1A83" w:rsidRPr="00A73D71">
        <w:rPr>
          <w:color w:val="auto"/>
        </w:rPr>
        <w:t>addresses</w:t>
      </w:r>
      <w:r w:rsidR="002836F3" w:rsidRPr="00A73D71">
        <w:rPr>
          <w:color w:val="auto"/>
        </w:rPr>
        <w:t xml:space="preserve"> anti-stereotyping in state public schools and public charter schools. The bill provides that county boards, public schools, public charter schools, and employees thereof, shall not, in the course or scope of employment, promote, embrace, or endorse stereotypes. The bill ensures that the county board, public school or charter school does not require or compel a student, teacher, administrator, or other employee to affirm, adopt, or adhere to any certain beliefs or concepts. Finally, the bill preserves free speech protections.</w:t>
      </w:r>
    </w:p>
    <w:p w14:paraId="54F54D38" w14:textId="6AF7AC22" w:rsidR="006865E9" w:rsidRPr="00A73D71" w:rsidRDefault="00AE48A0" w:rsidP="00CC1F3B">
      <w:pPr>
        <w:pStyle w:val="Note"/>
        <w:rPr>
          <w:color w:val="auto"/>
        </w:rPr>
      </w:pPr>
      <w:r w:rsidRPr="00A73D71">
        <w:rPr>
          <w:color w:val="auto"/>
        </w:rPr>
        <w:t>Strike-throughs indicate language that would be stricken from a heading or the present law</w:t>
      </w:r>
      <w:r w:rsidR="003F1A83" w:rsidRPr="00A73D71">
        <w:rPr>
          <w:color w:val="auto"/>
        </w:rPr>
        <w:t>,</w:t>
      </w:r>
      <w:r w:rsidRPr="00A73D71">
        <w:rPr>
          <w:color w:val="auto"/>
        </w:rPr>
        <w:t xml:space="preserve"> and underscoring indicates new language that would be added.</w:t>
      </w:r>
    </w:p>
    <w:sectPr w:rsidR="006865E9" w:rsidRPr="00A73D71" w:rsidSect="00FF250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3E66" w14:textId="77777777" w:rsidR="001D315F" w:rsidRPr="00B844FE" w:rsidRDefault="001D315F" w:rsidP="00B844FE">
      <w:r>
        <w:separator/>
      </w:r>
    </w:p>
  </w:endnote>
  <w:endnote w:type="continuationSeparator" w:id="0">
    <w:p w14:paraId="269CFC40" w14:textId="77777777" w:rsidR="001D315F" w:rsidRPr="00B844FE" w:rsidRDefault="001D31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3D2E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1F88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84FC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399139"/>
      <w:docPartObj>
        <w:docPartGallery w:val="Page Numbers (Bottom of Page)"/>
        <w:docPartUnique/>
      </w:docPartObj>
    </w:sdtPr>
    <w:sdtEndPr/>
    <w:sdtContent>
      <w:p w14:paraId="738B4D38" w14:textId="77777777" w:rsidR="001D315F" w:rsidRPr="00B844FE" w:rsidRDefault="001D315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1E4E30" w14:textId="77777777" w:rsidR="001D315F" w:rsidRDefault="001D315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561786"/>
      <w:docPartObj>
        <w:docPartGallery w:val="Page Numbers (Bottom of Page)"/>
        <w:docPartUnique/>
      </w:docPartObj>
    </w:sdtPr>
    <w:sdtEndPr>
      <w:rPr>
        <w:noProof/>
      </w:rPr>
    </w:sdtEndPr>
    <w:sdtContent>
      <w:p w14:paraId="63D34FF3" w14:textId="77777777" w:rsidR="001D315F" w:rsidRDefault="001D31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07719"/>
      <w:docPartObj>
        <w:docPartGallery w:val="Page Numbers (Bottom of Page)"/>
        <w:docPartUnique/>
      </w:docPartObj>
    </w:sdtPr>
    <w:sdtEndPr>
      <w:rPr>
        <w:noProof/>
      </w:rPr>
    </w:sdtEndPr>
    <w:sdtContent>
      <w:p w14:paraId="31E814F7" w14:textId="77777777" w:rsidR="001D315F" w:rsidRDefault="0083130B">
        <w:pPr>
          <w:pStyle w:val="Footer"/>
          <w:jc w:val="center"/>
        </w:pPr>
      </w:p>
    </w:sdtContent>
  </w:sdt>
  <w:p w14:paraId="2F790ED7" w14:textId="77777777" w:rsidR="001D315F" w:rsidRDefault="001D3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51A1" w14:textId="77777777" w:rsidR="001D315F" w:rsidRPr="00B844FE" w:rsidRDefault="001D315F" w:rsidP="00B844FE">
      <w:r>
        <w:separator/>
      </w:r>
    </w:p>
  </w:footnote>
  <w:footnote w:type="continuationSeparator" w:id="0">
    <w:p w14:paraId="6B86972E" w14:textId="77777777" w:rsidR="001D315F" w:rsidRPr="00B844FE" w:rsidRDefault="001D31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D6FD" w14:textId="77777777" w:rsidR="002A0269" w:rsidRPr="00B844FE" w:rsidRDefault="0083130B">
    <w:pPr>
      <w:pStyle w:val="Header"/>
    </w:pPr>
    <w:sdt>
      <w:sdtPr>
        <w:id w:val="-684364211"/>
        <w:placeholder>
          <w:docPart w:val="7BB85566710E4E368920D5CD6F7E31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B85566710E4E368920D5CD6F7E318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E54E" w14:textId="42755038" w:rsidR="00C33014" w:rsidRPr="00686E9A" w:rsidRDefault="002836F3" w:rsidP="000573A9">
    <w:pPr>
      <w:pStyle w:val="HeaderStyle"/>
      <w:rPr>
        <w:sz w:val="22"/>
        <w:szCs w:val="22"/>
      </w:rPr>
    </w:pPr>
    <w:r>
      <w:rPr>
        <w:sz w:val="22"/>
        <w:szCs w:val="22"/>
      </w:rPr>
      <w:t>Intr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Pr>
            <w:sz w:val="22"/>
            <w:szCs w:val="22"/>
          </w:rPr>
          <w:t>202</w:t>
        </w:r>
        <w:r w:rsidR="00FF2509">
          <w:rPr>
            <w:sz w:val="22"/>
            <w:szCs w:val="22"/>
          </w:rPr>
          <w:t>4</w:t>
        </w:r>
        <w:r>
          <w:rPr>
            <w:sz w:val="22"/>
            <w:szCs w:val="22"/>
          </w:rPr>
          <w:t>R</w:t>
        </w:r>
        <w:r w:rsidR="00FF2509">
          <w:rPr>
            <w:sz w:val="22"/>
            <w:szCs w:val="22"/>
          </w:rPr>
          <w:t>1162</w:t>
        </w:r>
      </w:sdtContent>
    </w:sdt>
  </w:p>
  <w:p w14:paraId="5BD1DD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C9E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FC7A" w14:textId="77777777" w:rsidR="001D315F" w:rsidRPr="00B844FE" w:rsidRDefault="0083130B">
    <w:pPr>
      <w:pStyle w:val="Header"/>
    </w:pPr>
    <w:sdt>
      <w:sdtPr>
        <w:id w:val="-2147114949"/>
        <w:placeholder>
          <w:docPart w:val="8B61328E5F8342CC91A7465C62F80FC6"/>
        </w:placeholder>
        <w:temporary/>
        <w:showingPlcHdr/>
        <w15:appearance w15:val="hidden"/>
      </w:sdtPr>
      <w:sdtEndPr/>
      <w:sdtContent>
        <w:r w:rsidR="001D315F" w:rsidRPr="00B844FE">
          <w:t>[Type here]</w:t>
        </w:r>
      </w:sdtContent>
    </w:sdt>
    <w:r w:rsidR="001D315F" w:rsidRPr="00B844FE">
      <w:ptab w:relativeTo="margin" w:alignment="left" w:leader="none"/>
    </w:r>
    <w:sdt>
      <w:sdtPr>
        <w:id w:val="1802344731"/>
        <w:placeholder>
          <w:docPart w:val="8B61328E5F8342CC91A7465C62F80FC6"/>
        </w:placeholder>
        <w:temporary/>
        <w:showingPlcHdr/>
        <w15:appearance w15:val="hidden"/>
      </w:sdtPr>
      <w:sdtEndPr/>
      <w:sdtContent>
        <w:r w:rsidR="001D315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54F8" w14:textId="1663473C" w:rsidR="001D315F" w:rsidRPr="00686E9A" w:rsidRDefault="002836F3" w:rsidP="000573A9">
    <w:pPr>
      <w:pStyle w:val="HeaderStyle"/>
      <w:rPr>
        <w:sz w:val="22"/>
        <w:szCs w:val="22"/>
      </w:rPr>
    </w:pPr>
    <w:r>
      <w:rPr>
        <w:sz w:val="22"/>
        <w:szCs w:val="22"/>
      </w:rPr>
      <w:t>Intr HB</w:t>
    </w:r>
    <w:r>
      <w:rPr>
        <w:sz w:val="22"/>
        <w:szCs w:val="22"/>
      </w:rPr>
      <w:tab/>
    </w:r>
    <w:r w:rsidR="001D315F" w:rsidRPr="00686E9A">
      <w:rPr>
        <w:sz w:val="22"/>
        <w:szCs w:val="22"/>
      </w:rPr>
      <w:tab/>
    </w:r>
    <w:r w:rsidR="006B7262">
      <w:rPr>
        <w:sz w:val="22"/>
        <w:szCs w:val="22"/>
      </w:rPr>
      <w:t>2024R1162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7A89" w14:textId="77777777" w:rsidR="001D315F" w:rsidRPr="004D3ABE" w:rsidRDefault="001D315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9556099">
    <w:abstractNumId w:val="0"/>
  </w:num>
  <w:num w:numId="2" w16cid:durableId="165178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5F"/>
    <w:rsid w:val="0000526A"/>
    <w:rsid w:val="00036E44"/>
    <w:rsid w:val="000573A9"/>
    <w:rsid w:val="00085D22"/>
    <w:rsid w:val="00093AB0"/>
    <w:rsid w:val="000C5C77"/>
    <w:rsid w:val="000E3912"/>
    <w:rsid w:val="0010070F"/>
    <w:rsid w:val="00114FF4"/>
    <w:rsid w:val="00142400"/>
    <w:rsid w:val="0015112E"/>
    <w:rsid w:val="001552E7"/>
    <w:rsid w:val="001566B4"/>
    <w:rsid w:val="00195A1E"/>
    <w:rsid w:val="001A66B7"/>
    <w:rsid w:val="001C279E"/>
    <w:rsid w:val="001D315F"/>
    <w:rsid w:val="001D459E"/>
    <w:rsid w:val="0022348D"/>
    <w:rsid w:val="00251B1E"/>
    <w:rsid w:val="0027011C"/>
    <w:rsid w:val="00274200"/>
    <w:rsid w:val="00275740"/>
    <w:rsid w:val="002836F3"/>
    <w:rsid w:val="002A0269"/>
    <w:rsid w:val="00303684"/>
    <w:rsid w:val="003143F5"/>
    <w:rsid w:val="00314854"/>
    <w:rsid w:val="00394191"/>
    <w:rsid w:val="003C51CD"/>
    <w:rsid w:val="003C6034"/>
    <w:rsid w:val="003F1A83"/>
    <w:rsid w:val="00400B5C"/>
    <w:rsid w:val="004368E0"/>
    <w:rsid w:val="004C13DD"/>
    <w:rsid w:val="004D3ABE"/>
    <w:rsid w:val="004E3441"/>
    <w:rsid w:val="00500579"/>
    <w:rsid w:val="0056362C"/>
    <w:rsid w:val="0059612D"/>
    <w:rsid w:val="005A5366"/>
    <w:rsid w:val="005A64D0"/>
    <w:rsid w:val="005B4B42"/>
    <w:rsid w:val="006369EB"/>
    <w:rsid w:val="00637E73"/>
    <w:rsid w:val="006865E9"/>
    <w:rsid w:val="00686E9A"/>
    <w:rsid w:val="00691F3E"/>
    <w:rsid w:val="00694BFB"/>
    <w:rsid w:val="006A106B"/>
    <w:rsid w:val="006B7262"/>
    <w:rsid w:val="006C523D"/>
    <w:rsid w:val="006D4036"/>
    <w:rsid w:val="00787458"/>
    <w:rsid w:val="007A5259"/>
    <w:rsid w:val="007A7081"/>
    <w:rsid w:val="007F1CF5"/>
    <w:rsid w:val="0083130B"/>
    <w:rsid w:val="00834EDE"/>
    <w:rsid w:val="008736AA"/>
    <w:rsid w:val="0088723C"/>
    <w:rsid w:val="00896AE1"/>
    <w:rsid w:val="008D275D"/>
    <w:rsid w:val="00980327"/>
    <w:rsid w:val="00986478"/>
    <w:rsid w:val="009B5557"/>
    <w:rsid w:val="009F1067"/>
    <w:rsid w:val="00A31E01"/>
    <w:rsid w:val="00A527AD"/>
    <w:rsid w:val="00A718CF"/>
    <w:rsid w:val="00A73D71"/>
    <w:rsid w:val="00A8315F"/>
    <w:rsid w:val="00AC34D6"/>
    <w:rsid w:val="00AD5404"/>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3C40"/>
    <w:rsid w:val="00C85096"/>
    <w:rsid w:val="00CB20EF"/>
    <w:rsid w:val="00CC1F3B"/>
    <w:rsid w:val="00CC7878"/>
    <w:rsid w:val="00CD12CB"/>
    <w:rsid w:val="00CD36CF"/>
    <w:rsid w:val="00CF1DCA"/>
    <w:rsid w:val="00D579FC"/>
    <w:rsid w:val="00D81C16"/>
    <w:rsid w:val="00DD3258"/>
    <w:rsid w:val="00DD481E"/>
    <w:rsid w:val="00DE526B"/>
    <w:rsid w:val="00DF199D"/>
    <w:rsid w:val="00E01542"/>
    <w:rsid w:val="00E365F1"/>
    <w:rsid w:val="00E62F48"/>
    <w:rsid w:val="00E831B3"/>
    <w:rsid w:val="00E95FBC"/>
    <w:rsid w:val="00EC3F79"/>
    <w:rsid w:val="00EC5E63"/>
    <w:rsid w:val="00EE70CB"/>
    <w:rsid w:val="00F40E38"/>
    <w:rsid w:val="00F41CA2"/>
    <w:rsid w:val="00F443C0"/>
    <w:rsid w:val="00F62EFB"/>
    <w:rsid w:val="00F939A4"/>
    <w:rsid w:val="00FA7B09"/>
    <w:rsid w:val="00FD5B51"/>
    <w:rsid w:val="00FE067E"/>
    <w:rsid w:val="00FE208F"/>
    <w:rsid w:val="00FF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6329"/>
  <w15:chartTrackingRefBased/>
  <w15:docId w15:val="{AC8582FC-5D94-4C9E-B259-B3D87AD7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D315F"/>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1328E5F8342CC91A7465C62F80FC6"/>
        <w:category>
          <w:name w:val="General"/>
          <w:gallery w:val="placeholder"/>
        </w:category>
        <w:types>
          <w:type w:val="bbPlcHdr"/>
        </w:types>
        <w:behaviors>
          <w:behavior w:val="content"/>
        </w:behaviors>
        <w:guid w:val="{BF41E5C7-0AD2-4F53-88A8-59285F20A4D6}"/>
      </w:docPartPr>
      <w:docPartBody>
        <w:p w:rsidR="00CD5C1E" w:rsidRDefault="00CD5C1E">
          <w:pPr>
            <w:pStyle w:val="8B61328E5F8342CC91A7465C62F80FC6"/>
          </w:pPr>
          <w:r w:rsidRPr="00B844FE">
            <w:t>Prefix Text</w:t>
          </w:r>
        </w:p>
      </w:docPartBody>
    </w:docPart>
    <w:docPart>
      <w:docPartPr>
        <w:name w:val="7BB85566710E4E368920D5CD6F7E3183"/>
        <w:category>
          <w:name w:val="General"/>
          <w:gallery w:val="placeholder"/>
        </w:category>
        <w:types>
          <w:type w:val="bbPlcHdr"/>
        </w:types>
        <w:behaviors>
          <w:behavior w:val="content"/>
        </w:behaviors>
        <w:guid w:val="{02042557-2557-4962-ABE2-FD0B26B6CF94}"/>
      </w:docPartPr>
      <w:docPartBody>
        <w:p w:rsidR="00CD5C1E" w:rsidRDefault="00CD5C1E">
          <w:pPr>
            <w:pStyle w:val="7BB85566710E4E368920D5CD6F7E3183"/>
          </w:pPr>
          <w:r w:rsidRPr="00B844FE">
            <w:t>[Type here]</w:t>
          </w:r>
        </w:p>
      </w:docPartBody>
    </w:docPart>
    <w:docPart>
      <w:docPartPr>
        <w:name w:val="491C8649CB5C449B881F7B6BF264B648"/>
        <w:category>
          <w:name w:val="General"/>
          <w:gallery w:val="placeholder"/>
        </w:category>
        <w:types>
          <w:type w:val="bbPlcHdr"/>
        </w:types>
        <w:behaviors>
          <w:behavior w:val="content"/>
        </w:behaviors>
        <w:guid w:val="{8A4D32BE-CB33-457F-ACAC-0F0EE2FB91CC}"/>
      </w:docPartPr>
      <w:docPartBody>
        <w:p w:rsidR="00CD5C1E" w:rsidRDefault="00CD5C1E">
          <w:pPr>
            <w:pStyle w:val="491C8649CB5C449B881F7B6BF264B648"/>
          </w:pPr>
          <w:r w:rsidRPr="00B844FE">
            <w:t>Number</w:t>
          </w:r>
        </w:p>
      </w:docPartBody>
    </w:docPart>
    <w:docPart>
      <w:docPartPr>
        <w:name w:val="2A2DDF9F90F040B882FCB3691C92B059"/>
        <w:category>
          <w:name w:val="General"/>
          <w:gallery w:val="placeholder"/>
        </w:category>
        <w:types>
          <w:type w:val="bbPlcHdr"/>
        </w:types>
        <w:behaviors>
          <w:behavior w:val="content"/>
        </w:behaviors>
        <w:guid w:val="{293B140C-7621-496C-83C4-A666006685D0}"/>
      </w:docPartPr>
      <w:docPartBody>
        <w:p w:rsidR="00CD5C1E" w:rsidRDefault="00CD5C1E">
          <w:pPr>
            <w:pStyle w:val="2A2DDF9F90F040B882FCB3691C92B059"/>
          </w:pPr>
          <w:r w:rsidRPr="00B844FE">
            <w:t>Enter Sponsors Here</w:t>
          </w:r>
        </w:p>
      </w:docPartBody>
    </w:docPart>
    <w:docPart>
      <w:docPartPr>
        <w:name w:val="38C286CF7A164B38BD50D53B11556F1E"/>
        <w:category>
          <w:name w:val="General"/>
          <w:gallery w:val="placeholder"/>
        </w:category>
        <w:types>
          <w:type w:val="bbPlcHdr"/>
        </w:types>
        <w:behaviors>
          <w:behavior w:val="content"/>
        </w:behaviors>
        <w:guid w:val="{A31FDBD1-75FC-42E6-9C62-E3B1200A6D19}"/>
      </w:docPartPr>
      <w:docPartBody>
        <w:p w:rsidR="00CD5C1E" w:rsidRDefault="00CD5C1E">
          <w:pPr>
            <w:pStyle w:val="38C286CF7A164B38BD50D53B11556F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1E"/>
    <w:rsid w:val="00CD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61328E5F8342CC91A7465C62F80FC6">
    <w:name w:val="8B61328E5F8342CC91A7465C62F80FC6"/>
  </w:style>
  <w:style w:type="paragraph" w:customStyle="1" w:styleId="7BB85566710E4E368920D5CD6F7E3183">
    <w:name w:val="7BB85566710E4E368920D5CD6F7E3183"/>
  </w:style>
  <w:style w:type="paragraph" w:customStyle="1" w:styleId="491C8649CB5C449B881F7B6BF264B648">
    <w:name w:val="491C8649CB5C449B881F7B6BF264B648"/>
  </w:style>
  <w:style w:type="paragraph" w:customStyle="1" w:styleId="2A2DDF9F90F040B882FCB3691C92B059">
    <w:name w:val="2A2DDF9F90F040B882FCB3691C92B059"/>
  </w:style>
  <w:style w:type="character" w:styleId="PlaceholderText">
    <w:name w:val="Placeholder Text"/>
    <w:basedOn w:val="DefaultParagraphFont"/>
    <w:uiPriority w:val="99"/>
    <w:semiHidden/>
    <w:rPr>
      <w:color w:val="808080"/>
    </w:rPr>
  </w:style>
  <w:style w:type="paragraph" w:customStyle="1" w:styleId="38C286CF7A164B38BD50D53B11556F1E">
    <w:name w:val="38C286CF7A164B38BD50D53B11556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9</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 White</dc:creator>
  <cp:keywords/>
  <dc:description/>
  <cp:lastModifiedBy>Sam Rowe</cp:lastModifiedBy>
  <cp:revision>3</cp:revision>
  <cp:lastPrinted>2022-12-08T20:06:00Z</cp:lastPrinted>
  <dcterms:created xsi:type="dcterms:W3CDTF">2024-01-07T21:34:00Z</dcterms:created>
  <dcterms:modified xsi:type="dcterms:W3CDTF">2024-01-08T20:48:00Z</dcterms:modified>
</cp:coreProperties>
</file>